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2E52" w:rsidRDefault="00582E52" w:rsidP="005F499F">
      <w:pPr>
        <w:spacing w:before="120" w:after="200" w:line="360" w:lineRule="atLeast"/>
        <w:ind w:left="0"/>
        <w:jc w:val="center"/>
        <w:rPr>
          <w:b/>
          <w:i w:val="0"/>
          <w:szCs w:val="24"/>
        </w:rPr>
      </w:pPr>
    </w:p>
    <w:p w:rsidR="005F499F" w:rsidRPr="005F499F" w:rsidRDefault="005F499F" w:rsidP="005F499F">
      <w:pPr>
        <w:spacing w:before="120" w:after="200" w:line="360" w:lineRule="atLeast"/>
        <w:ind w:left="0"/>
        <w:jc w:val="center"/>
        <w:rPr>
          <w:b/>
          <w:i w:val="0"/>
          <w:szCs w:val="24"/>
        </w:rPr>
      </w:pPr>
      <w:r>
        <w:rPr>
          <w:b/>
          <w:i w:val="0"/>
          <w:szCs w:val="24"/>
        </w:rPr>
        <w:t>CRITERIOS DE EVALUCIÓN Y CALIFICACIÓN DE GRIEGO I</w:t>
      </w:r>
    </w:p>
    <w:p w:rsidR="005F499F" w:rsidRDefault="005F499F" w:rsidP="005F499F">
      <w:pPr>
        <w:pStyle w:val="Prrafodelista"/>
        <w:numPr>
          <w:ilvl w:val="0"/>
          <w:numId w:val="1"/>
        </w:numPr>
        <w:spacing w:before="120" w:after="200" w:line="360" w:lineRule="atLeast"/>
        <w:rPr>
          <w:i w:val="0"/>
          <w:szCs w:val="24"/>
        </w:rPr>
      </w:pPr>
    </w:p>
    <w:p w:rsidR="005F499F" w:rsidRPr="00BB0F94" w:rsidRDefault="005F499F" w:rsidP="005F499F">
      <w:pPr>
        <w:pStyle w:val="Prrafodelista"/>
        <w:numPr>
          <w:ilvl w:val="0"/>
          <w:numId w:val="1"/>
        </w:numPr>
        <w:spacing w:before="120" w:after="200" w:line="360" w:lineRule="atLeast"/>
        <w:rPr>
          <w:i w:val="0"/>
          <w:szCs w:val="24"/>
        </w:rPr>
      </w:pPr>
      <w:r w:rsidRPr="00BB0F94">
        <w:rPr>
          <w:i w:val="0"/>
          <w:szCs w:val="24"/>
        </w:rPr>
        <w:t xml:space="preserve">La nota de evaluación se estructurará de la siguiente forma: </w:t>
      </w:r>
    </w:p>
    <w:p w:rsidR="005F499F" w:rsidRPr="009D5D35" w:rsidRDefault="005F499F" w:rsidP="005F499F">
      <w:pPr>
        <w:pStyle w:val="Prrafodelista"/>
        <w:numPr>
          <w:ilvl w:val="0"/>
          <w:numId w:val="1"/>
        </w:numPr>
        <w:spacing w:before="120" w:after="200"/>
        <w:rPr>
          <w:i w:val="0"/>
          <w:szCs w:val="24"/>
        </w:rPr>
      </w:pPr>
      <w:r w:rsidRPr="009D5D35">
        <w:rPr>
          <w:i w:val="0"/>
          <w:szCs w:val="24"/>
        </w:rPr>
        <w:t>80 % nota de pruebas escritas</w:t>
      </w:r>
    </w:p>
    <w:p w:rsidR="005F499F" w:rsidRPr="009D5D35" w:rsidRDefault="005F499F" w:rsidP="005F499F">
      <w:pPr>
        <w:pStyle w:val="Prrafodelista"/>
        <w:numPr>
          <w:ilvl w:val="0"/>
          <w:numId w:val="1"/>
        </w:numPr>
        <w:spacing w:before="120" w:after="200"/>
        <w:rPr>
          <w:i w:val="0"/>
          <w:szCs w:val="24"/>
        </w:rPr>
      </w:pPr>
      <w:r w:rsidRPr="009D5D35">
        <w:rPr>
          <w:i w:val="0"/>
          <w:szCs w:val="24"/>
        </w:rPr>
        <w:t xml:space="preserve">10 % nota de los trabajos de investigación y libros de lectura. </w:t>
      </w:r>
    </w:p>
    <w:p w:rsidR="005F499F" w:rsidRPr="009D5D35" w:rsidRDefault="005F499F" w:rsidP="005F499F">
      <w:pPr>
        <w:pStyle w:val="Prrafodelista"/>
        <w:numPr>
          <w:ilvl w:val="0"/>
          <w:numId w:val="1"/>
        </w:numPr>
        <w:spacing w:before="120" w:after="200"/>
        <w:rPr>
          <w:i w:val="0"/>
          <w:szCs w:val="24"/>
        </w:rPr>
      </w:pPr>
      <w:r w:rsidRPr="009D5D35">
        <w:rPr>
          <w:i w:val="0"/>
          <w:szCs w:val="24"/>
        </w:rPr>
        <w:t>10 % nota de pruebas orales, trabajo diario (individual o grupal) y actitud</w:t>
      </w:r>
      <w:r>
        <w:rPr>
          <w:i w:val="0"/>
          <w:szCs w:val="24"/>
        </w:rPr>
        <w:t>.</w:t>
      </w:r>
    </w:p>
    <w:p w:rsidR="005F499F" w:rsidRDefault="005F499F" w:rsidP="005F499F">
      <w:pPr>
        <w:pStyle w:val="Prrafodelista"/>
        <w:spacing w:before="120" w:after="200"/>
        <w:ind w:left="432"/>
        <w:rPr>
          <w:i w:val="0"/>
          <w:szCs w:val="24"/>
        </w:rPr>
      </w:pPr>
    </w:p>
    <w:p w:rsidR="005F499F" w:rsidRPr="009D5D35" w:rsidRDefault="005F499F" w:rsidP="005F499F">
      <w:pPr>
        <w:pStyle w:val="Prrafodelista"/>
        <w:numPr>
          <w:ilvl w:val="0"/>
          <w:numId w:val="1"/>
        </w:numPr>
        <w:spacing w:before="120" w:after="200"/>
        <w:rPr>
          <w:i w:val="0"/>
          <w:szCs w:val="24"/>
        </w:rPr>
      </w:pPr>
      <w:r w:rsidRPr="009D5D35">
        <w:rPr>
          <w:i w:val="0"/>
          <w:szCs w:val="24"/>
        </w:rPr>
        <w:t>Las pruebas escritas podrán constar de los siguientes apartados:</w:t>
      </w:r>
    </w:p>
    <w:p w:rsidR="005F499F" w:rsidRPr="009D5D35" w:rsidRDefault="005F499F" w:rsidP="005F499F">
      <w:pPr>
        <w:pStyle w:val="Prrafodelista"/>
        <w:numPr>
          <w:ilvl w:val="0"/>
          <w:numId w:val="1"/>
        </w:numPr>
        <w:spacing w:before="120" w:after="200"/>
        <w:rPr>
          <w:i w:val="0"/>
          <w:szCs w:val="24"/>
        </w:rPr>
      </w:pPr>
      <w:r w:rsidRPr="009D5D35">
        <w:rPr>
          <w:i w:val="0"/>
          <w:szCs w:val="24"/>
        </w:rPr>
        <w:t>-</w:t>
      </w:r>
      <w:r w:rsidRPr="009D5D35">
        <w:rPr>
          <w:b/>
          <w:i w:val="0"/>
          <w:szCs w:val="24"/>
        </w:rPr>
        <w:t>Comprensión escrita</w:t>
      </w:r>
      <w:r w:rsidRPr="009D5D35">
        <w:rPr>
          <w:i w:val="0"/>
          <w:szCs w:val="24"/>
        </w:rPr>
        <w:t>: a través de la traducción y lectura de textos.</w:t>
      </w:r>
    </w:p>
    <w:p w:rsidR="005F499F" w:rsidRPr="009D5D35" w:rsidRDefault="005F499F" w:rsidP="005F499F">
      <w:pPr>
        <w:pStyle w:val="Prrafodelista"/>
        <w:numPr>
          <w:ilvl w:val="0"/>
          <w:numId w:val="1"/>
        </w:numPr>
        <w:spacing w:before="120" w:after="200"/>
        <w:rPr>
          <w:i w:val="0"/>
          <w:szCs w:val="24"/>
        </w:rPr>
      </w:pPr>
      <w:r w:rsidRPr="009D5D35">
        <w:rPr>
          <w:i w:val="0"/>
          <w:szCs w:val="24"/>
        </w:rPr>
        <w:t>-</w:t>
      </w:r>
      <w:r w:rsidRPr="009D5D35">
        <w:rPr>
          <w:b/>
          <w:i w:val="0"/>
          <w:szCs w:val="24"/>
        </w:rPr>
        <w:t>Expresión escrita</w:t>
      </w:r>
      <w:r w:rsidRPr="009D5D35">
        <w:rPr>
          <w:i w:val="0"/>
          <w:szCs w:val="24"/>
        </w:rPr>
        <w:t>, donde comprende ejercicios gramaticales:</w:t>
      </w:r>
    </w:p>
    <w:p w:rsidR="005F499F" w:rsidRPr="009D5D35" w:rsidRDefault="005F499F" w:rsidP="005F499F">
      <w:pPr>
        <w:pStyle w:val="Prrafodelista"/>
        <w:spacing w:before="120"/>
        <w:ind w:left="1140" w:firstLine="276"/>
        <w:rPr>
          <w:i w:val="0"/>
          <w:szCs w:val="24"/>
        </w:rPr>
      </w:pPr>
      <w:r w:rsidRPr="009D5D35">
        <w:rPr>
          <w:i w:val="0"/>
          <w:szCs w:val="24"/>
        </w:rPr>
        <w:t>Análisis morfosintáctico de elementos.</w:t>
      </w:r>
    </w:p>
    <w:p w:rsidR="005F499F" w:rsidRPr="009D5D35" w:rsidRDefault="005F499F" w:rsidP="005F499F">
      <w:pPr>
        <w:pStyle w:val="Prrafodelista"/>
        <w:numPr>
          <w:ilvl w:val="7"/>
          <w:numId w:val="1"/>
        </w:numPr>
        <w:spacing w:before="120" w:after="200"/>
        <w:rPr>
          <w:i w:val="0"/>
          <w:szCs w:val="24"/>
        </w:rPr>
      </w:pPr>
      <w:r w:rsidRPr="009D5D35">
        <w:rPr>
          <w:i w:val="0"/>
          <w:szCs w:val="24"/>
        </w:rPr>
        <w:t>Análisis sintáctico oracional.</w:t>
      </w:r>
    </w:p>
    <w:p w:rsidR="005F499F" w:rsidRPr="009D5D35" w:rsidRDefault="005F499F" w:rsidP="005F499F">
      <w:pPr>
        <w:pStyle w:val="Prrafodelista"/>
        <w:numPr>
          <w:ilvl w:val="7"/>
          <w:numId w:val="1"/>
        </w:numPr>
        <w:spacing w:before="120" w:after="200"/>
        <w:rPr>
          <w:i w:val="0"/>
          <w:szCs w:val="24"/>
        </w:rPr>
      </w:pPr>
      <w:r w:rsidRPr="009D5D35">
        <w:rPr>
          <w:i w:val="0"/>
          <w:szCs w:val="24"/>
        </w:rPr>
        <w:t>Cuestiones flexivas y gramaticales.</w:t>
      </w:r>
    </w:p>
    <w:p w:rsidR="005F499F" w:rsidRPr="009D5D35" w:rsidRDefault="005F499F" w:rsidP="005F499F">
      <w:pPr>
        <w:pStyle w:val="Prrafodelista"/>
        <w:numPr>
          <w:ilvl w:val="7"/>
          <w:numId w:val="1"/>
        </w:numPr>
        <w:spacing w:before="120" w:after="200"/>
        <w:rPr>
          <w:i w:val="0"/>
          <w:szCs w:val="24"/>
        </w:rPr>
      </w:pPr>
      <w:r w:rsidRPr="009D5D35">
        <w:rPr>
          <w:i w:val="0"/>
          <w:szCs w:val="24"/>
        </w:rPr>
        <w:t>Oraciones o textos en griego para su traducción, facilitando el vocabulario no visto hasta la fecha del control.</w:t>
      </w:r>
    </w:p>
    <w:p w:rsidR="005F499F" w:rsidRPr="009D5D35" w:rsidRDefault="005F499F" w:rsidP="005F499F">
      <w:pPr>
        <w:pStyle w:val="Prrafodelista"/>
        <w:numPr>
          <w:ilvl w:val="0"/>
          <w:numId w:val="1"/>
        </w:numPr>
        <w:spacing w:before="120" w:after="200"/>
        <w:rPr>
          <w:i w:val="0"/>
          <w:szCs w:val="24"/>
        </w:rPr>
      </w:pPr>
      <w:r w:rsidRPr="009D5D35">
        <w:rPr>
          <w:i w:val="0"/>
          <w:szCs w:val="24"/>
        </w:rPr>
        <w:t>-</w:t>
      </w:r>
      <w:r w:rsidRPr="009D5D35">
        <w:rPr>
          <w:b/>
          <w:i w:val="0"/>
          <w:szCs w:val="24"/>
        </w:rPr>
        <w:t>Comprensión oral</w:t>
      </w:r>
      <w:r w:rsidRPr="009D5D35">
        <w:rPr>
          <w:i w:val="0"/>
          <w:szCs w:val="24"/>
        </w:rPr>
        <w:t>: se realizará lectura de textos traducidos y en lengua original para comprobar su comprensión.</w:t>
      </w:r>
    </w:p>
    <w:p w:rsidR="005F499F" w:rsidRPr="009D5D35" w:rsidRDefault="005F499F" w:rsidP="005F499F">
      <w:pPr>
        <w:pStyle w:val="Prrafodelista"/>
        <w:numPr>
          <w:ilvl w:val="0"/>
          <w:numId w:val="1"/>
        </w:numPr>
        <w:spacing w:before="120" w:after="200"/>
        <w:rPr>
          <w:i w:val="0"/>
          <w:szCs w:val="24"/>
          <w:lang w:val="es-ES_tradnl"/>
        </w:rPr>
      </w:pPr>
      <w:r w:rsidRPr="009D5D35">
        <w:rPr>
          <w:i w:val="0"/>
          <w:szCs w:val="24"/>
        </w:rPr>
        <w:t>-</w:t>
      </w:r>
      <w:r w:rsidRPr="009D5D35">
        <w:rPr>
          <w:b/>
          <w:i w:val="0"/>
          <w:szCs w:val="24"/>
        </w:rPr>
        <w:t>Expresión oral</w:t>
      </w:r>
      <w:r w:rsidRPr="009D5D35">
        <w:rPr>
          <w:i w:val="0"/>
          <w:szCs w:val="24"/>
        </w:rPr>
        <w:t>: podrá</w:t>
      </w:r>
      <w:r w:rsidRPr="009D5D35">
        <w:rPr>
          <w:i w:val="0"/>
          <w:szCs w:val="24"/>
          <w:lang w:val="es-ES_tradnl"/>
        </w:rPr>
        <w:t xml:space="preserve"> ser valorada fuera de la fecha del examen o bien con los diversos ejercicios orales que se vayan desarrollando a lo largo de la evaluación.</w:t>
      </w:r>
    </w:p>
    <w:p w:rsidR="005F499F" w:rsidRPr="009D5D35" w:rsidRDefault="005F499F" w:rsidP="005F499F">
      <w:pPr>
        <w:pStyle w:val="Prrafodelista"/>
        <w:numPr>
          <w:ilvl w:val="0"/>
          <w:numId w:val="1"/>
        </w:numPr>
        <w:spacing w:before="120" w:after="200"/>
        <w:rPr>
          <w:i w:val="0"/>
          <w:szCs w:val="24"/>
        </w:rPr>
      </w:pPr>
      <w:r w:rsidRPr="009D5D35">
        <w:rPr>
          <w:i w:val="0"/>
          <w:szCs w:val="24"/>
        </w:rPr>
        <w:t>-</w:t>
      </w:r>
      <w:r w:rsidRPr="009D5D35">
        <w:rPr>
          <w:b/>
          <w:i w:val="0"/>
          <w:szCs w:val="24"/>
        </w:rPr>
        <w:t>Cuestiones de Cultura y Civilización</w:t>
      </w:r>
      <w:r w:rsidRPr="009D5D35">
        <w:rPr>
          <w:i w:val="0"/>
          <w:szCs w:val="24"/>
        </w:rPr>
        <w:t xml:space="preserve"> sobre los tem</w:t>
      </w:r>
      <w:r>
        <w:rPr>
          <w:i w:val="0"/>
          <w:szCs w:val="24"/>
        </w:rPr>
        <w:t>as propuestos en los contenidos, que podrán ser sustituidos por la exposición oral individual de un trabajo sobre un tema concreto relativo a la civilización o la historia de la Antigua Grecia.</w:t>
      </w:r>
    </w:p>
    <w:p w:rsidR="005F499F" w:rsidRPr="009D5D35" w:rsidRDefault="005F499F" w:rsidP="005F499F">
      <w:pPr>
        <w:pStyle w:val="Prrafodelista"/>
        <w:numPr>
          <w:ilvl w:val="0"/>
          <w:numId w:val="1"/>
        </w:numPr>
        <w:spacing w:before="120" w:after="200"/>
        <w:rPr>
          <w:i w:val="0"/>
          <w:szCs w:val="24"/>
        </w:rPr>
      </w:pPr>
      <w:r w:rsidRPr="009D5D35">
        <w:rPr>
          <w:i w:val="0"/>
          <w:szCs w:val="24"/>
        </w:rPr>
        <w:t>-</w:t>
      </w:r>
      <w:r w:rsidRPr="009D5D35">
        <w:rPr>
          <w:b/>
          <w:i w:val="0"/>
          <w:szCs w:val="24"/>
        </w:rPr>
        <w:t>Cuestiones de léxico griego y su etimología</w:t>
      </w:r>
      <w:r w:rsidRPr="009D5D35">
        <w:rPr>
          <w:i w:val="0"/>
          <w:szCs w:val="24"/>
        </w:rPr>
        <w:t>.</w:t>
      </w:r>
    </w:p>
    <w:p w:rsidR="005F499F" w:rsidRPr="009D5D35" w:rsidRDefault="005F499F" w:rsidP="005F499F">
      <w:pPr>
        <w:pStyle w:val="Prrafodelista"/>
        <w:numPr>
          <w:ilvl w:val="0"/>
          <w:numId w:val="1"/>
        </w:numPr>
        <w:spacing w:before="0" w:after="0"/>
        <w:contextualSpacing w:val="0"/>
        <w:rPr>
          <w:i w:val="0"/>
          <w:szCs w:val="24"/>
        </w:rPr>
      </w:pPr>
      <w:r w:rsidRPr="009D5D35">
        <w:rPr>
          <w:i w:val="0"/>
          <w:szCs w:val="24"/>
        </w:rPr>
        <w:t>El criterio de calificación de estos controles estará basado en la capacidad de comprensión de textos griegos demostrada por el alumno, su capacidad operativa sobre la base morfológica griega, su capacidad de reconocimiento de elementos y estructuras sintácticas y su traducción fiel o retroversión, su conocimiento del mundo griego y su dominio en cuestiones de léxico griego.</w:t>
      </w:r>
    </w:p>
    <w:p w:rsidR="005F499F" w:rsidRPr="009D5D35" w:rsidRDefault="005F499F" w:rsidP="005F499F">
      <w:pPr>
        <w:pStyle w:val="Prrafodelista"/>
        <w:numPr>
          <w:ilvl w:val="0"/>
          <w:numId w:val="1"/>
        </w:numPr>
        <w:spacing w:before="0" w:after="0"/>
        <w:contextualSpacing w:val="0"/>
        <w:rPr>
          <w:i w:val="0"/>
          <w:szCs w:val="24"/>
          <w:lang w:val="es-ES_tradnl"/>
        </w:rPr>
      </w:pPr>
      <w:r w:rsidRPr="009D5D35">
        <w:rPr>
          <w:i w:val="0"/>
          <w:szCs w:val="24"/>
        </w:rPr>
        <w:t xml:space="preserve">En </w:t>
      </w:r>
      <w:r>
        <w:rPr>
          <w:i w:val="0"/>
          <w:szCs w:val="24"/>
        </w:rPr>
        <w:t xml:space="preserve">las pruebas escritas y trabajos </w:t>
      </w:r>
      <w:r>
        <w:rPr>
          <w:i w:val="0"/>
          <w:szCs w:val="24"/>
          <w:lang w:val="es-ES_tradnl"/>
        </w:rPr>
        <w:t>s</w:t>
      </w:r>
      <w:r w:rsidRPr="009D5D35">
        <w:rPr>
          <w:i w:val="0"/>
          <w:szCs w:val="24"/>
          <w:lang w:val="es-ES_tradnl"/>
        </w:rPr>
        <w:t xml:space="preserve">e descontará </w:t>
      </w:r>
      <w:r>
        <w:rPr>
          <w:i w:val="0"/>
          <w:szCs w:val="24"/>
          <w:lang w:val="es-ES_tradnl"/>
        </w:rPr>
        <w:t xml:space="preserve">0,1 </w:t>
      </w:r>
      <w:r w:rsidRPr="009D5D35">
        <w:rPr>
          <w:i w:val="0"/>
          <w:szCs w:val="24"/>
          <w:lang w:val="es-ES_tradnl"/>
        </w:rPr>
        <w:t>puntos por cada fal</w:t>
      </w:r>
      <w:r>
        <w:rPr>
          <w:i w:val="0"/>
          <w:szCs w:val="24"/>
          <w:lang w:val="es-ES_tradnl"/>
        </w:rPr>
        <w:t>ta de ortografía, hasta un máximo de un punto</w:t>
      </w:r>
      <w:r w:rsidRPr="009D5D35">
        <w:rPr>
          <w:i w:val="0"/>
          <w:szCs w:val="24"/>
          <w:lang w:val="es-ES_tradnl"/>
        </w:rPr>
        <w:t xml:space="preserve">. </w:t>
      </w:r>
    </w:p>
    <w:p w:rsidR="005F499F" w:rsidRPr="009D5D35" w:rsidRDefault="005F499F" w:rsidP="005F499F">
      <w:pPr>
        <w:pStyle w:val="Prrafodelista"/>
        <w:numPr>
          <w:ilvl w:val="0"/>
          <w:numId w:val="1"/>
        </w:numPr>
        <w:spacing w:before="0" w:after="0"/>
        <w:contextualSpacing w:val="0"/>
        <w:rPr>
          <w:i w:val="0"/>
          <w:szCs w:val="24"/>
        </w:rPr>
      </w:pPr>
      <w:r w:rsidRPr="009D5D35">
        <w:rPr>
          <w:i w:val="0"/>
          <w:szCs w:val="24"/>
        </w:rPr>
        <w:t>En la línea de evaluación continua cualquier evaluación pendiente se considerará aprobada al superar la evaluación siguiente</w:t>
      </w:r>
      <w:r>
        <w:rPr>
          <w:i w:val="0"/>
          <w:szCs w:val="24"/>
        </w:rPr>
        <w:t xml:space="preserve"> con una nota mínima de 6</w:t>
      </w:r>
      <w:r w:rsidRPr="009D5D35">
        <w:rPr>
          <w:i w:val="0"/>
          <w:szCs w:val="24"/>
        </w:rPr>
        <w:t>.</w:t>
      </w:r>
      <w:r>
        <w:rPr>
          <w:i w:val="0"/>
          <w:szCs w:val="24"/>
        </w:rPr>
        <w:t xml:space="preserve"> No obstante, se ofrece la posibilidad de realizar una prueba escrita sobre los contenidos de la evaluación suspensa. </w:t>
      </w:r>
      <w:r w:rsidRPr="009D5D35">
        <w:rPr>
          <w:i w:val="0"/>
          <w:szCs w:val="24"/>
        </w:rPr>
        <w:t xml:space="preserve"> La nota final de junio será la obtenida a partir de la media obtenida de:</w:t>
      </w:r>
    </w:p>
    <w:p w:rsidR="005F499F" w:rsidRPr="009D5D35" w:rsidRDefault="005F499F" w:rsidP="005F499F">
      <w:pPr>
        <w:pStyle w:val="Predeterminado"/>
        <w:jc w:val="both"/>
      </w:pPr>
    </w:p>
    <w:tbl>
      <w:tblPr>
        <w:tblW w:w="9289" w:type="dxa"/>
        <w:tblInd w:w="429" w:type="dxa"/>
        <w:tblLayout w:type="fixed"/>
        <w:tblCellMar>
          <w:left w:w="0" w:type="dxa"/>
          <w:right w:w="0" w:type="dxa"/>
        </w:tblCellMar>
        <w:tblLook w:val="0000" w:firstRow="0" w:lastRow="0" w:firstColumn="0" w:lastColumn="0" w:noHBand="0" w:noVBand="0"/>
      </w:tblPr>
      <w:tblGrid>
        <w:gridCol w:w="2322"/>
        <w:gridCol w:w="2322"/>
        <w:gridCol w:w="2322"/>
        <w:gridCol w:w="2323"/>
      </w:tblGrid>
      <w:tr w:rsidR="005F499F" w:rsidRPr="009D5D35" w:rsidTr="009A0AE5">
        <w:trPr>
          <w:trHeight w:val="279"/>
        </w:trPr>
        <w:tc>
          <w:tcPr>
            <w:tcW w:w="2322" w:type="dxa"/>
            <w:tcBorders>
              <w:top w:val="single" w:sz="2" w:space="0" w:color="000000"/>
              <w:left w:val="single" w:sz="2" w:space="0" w:color="000000"/>
              <w:bottom w:val="single" w:sz="2" w:space="0" w:color="000000"/>
              <w:right w:val="nil"/>
            </w:tcBorders>
            <w:vAlign w:val="center"/>
          </w:tcPr>
          <w:p w:rsidR="005F499F" w:rsidRPr="009D5D35" w:rsidRDefault="005F499F" w:rsidP="009A0AE5">
            <w:pPr>
              <w:pStyle w:val="Contenidodelatabla"/>
              <w:jc w:val="center"/>
            </w:pPr>
            <w:r w:rsidRPr="009D5D35">
              <w:t>1ª EVALUACIÓN</w:t>
            </w:r>
          </w:p>
        </w:tc>
        <w:tc>
          <w:tcPr>
            <w:tcW w:w="2322" w:type="dxa"/>
            <w:tcBorders>
              <w:top w:val="single" w:sz="2" w:space="0" w:color="000000"/>
              <w:left w:val="single" w:sz="2" w:space="0" w:color="000000"/>
              <w:bottom w:val="single" w:sz="2" w:space="0" w:color="000000"/>
              <w:right w:val="nil"/>
            </w:tcBorders>
            <w:vAlign w:val="center"/>
          </w:tcPr>
          <w:p w:rsidR="005F499F" w:rsidRPr="009D5D35" w:rsidRDefault="005F499F" w:rsidP="009A0AE5">
            <w:pPr>
              <w:pStyle w:val="Contenidodelatabla"/>
              <w:jc w:val="center"/>
            </w:pPr>
            <w:r w:rsidRPr="009D5D35">
              <w:t>2ª EVALUACIÓN</w:t>
            </w:r>
          </w:p>
        </w:tc>
        <w:tc>
          <w:tcPr>
            <w:tcW w:w="2322" w:type="dxa"/>
            <w:tcBorders>
              <w:top w:val="single" w:sz="2" w:space="0" w:color="000000"/>
              <w:left w:val="single" w:sz="2" w:space="0" w:color="000000"/>
              <w:bottom w:val="single" w:sz="2" w:space="0" w:color="000000"/>
              <w:right w:val="nil"/>
            </w:tcBorders>
            <w:vAlign w:val="center"/>
          </w:tcPr>
          <w:p w:rsidR="005F499F" w:rsidRPr="009D5D35" w:rsidRDefault="005F499F" w:rsidP="009A0AE5">
            <w:pPr>
              <w:pStyle w:val="Contenidodelatabla"/>
              <w:jc w:val="center"/>
            </w:pPr>
            <w:r w:rsidRPr="009D5D35">
              <w:t>3ª EVALUACIÓN</w:t>
            </w:r>
          </w:p>
        </w:tc>
        <w:tc>
          <w:tcPr>
            <w:tcW w:w="2323" w:type="dxa"/>
            <w:tcBorders>
              <w:top w:val="single" w:sz="2" w:space="0" w:color="000000"/>
              <w:left w:val="single" w:sz="2" w:space="0" w:color="000000"/>
              <w:bottom w:val="single" w:sz="2" w:space="0" w:color="000000"/>
              <w:right w:val="single" w:sz="2" w:space="0" w:color="000000"/>
            </w:tcBorders>
            <w:vAlign w:val="center"/>
          </w:tcPr>
          <w:p w:rsidR="005F499F" w:rsidRPr="009D5D35" w:rsidRDefault="005F499F" w:rsidP="009A0AE5">
            <w:pPr>
              <w:pStyle w:val="Contenidodelatabla"/>
              <w:jc w:val="center"/>
            </w:pPr>
            <w:r w:rsidRPr="009D5D35">
              <w:t>FINAL</w:t>
            </w:r>
          </w:p>
        </w:tc>
      </w:tr>
      <w:tr w:rsidR="005F499F" w:rsidRPr="009D5D35" w:rsidTr="009A0AE5">
        <w:trPr>
          <w:trHeight w:val="264"/>
        </w:trPr>
        <w:tc>
          <w:tcPr>
            <w:tcW w:w="2322" w:type="dxa"/>
            <w:tcBorders>
              <w:top w:val="nil"/>
              <w:left w:val="single" w:sz="2" w:space="0" w:color="000000"/>
              <w:bottom w:val="single" w:sz="2" w:space="0" w:color="000000"/>
              <w:right w:val="nil"/>
            </w:tcBorders>
            <w:vAlign w:val="center"/>
          </w:tcPr>
          <w:p w:rsidR="005F499F" w:rsidRPr="009D5D35" w:rsidRDefault="005F499F" w:rsidP="009A0AE5">
            <w:pPr>
              <w:pStyle w:val="Contenidodelatabla"/>
              <w:jc w:val="center"/>
            </w:pPr>
            <w:r>
              <w:t>20</w:t>
            </w:r>
            <w:r w:rsidRPr="009D5D35">
              <w:t>%</w:t>
            </w:r>
          </w:p>
        </w:tc>
        <w:tc>
          <w:tcPr>
            <w:tcW w:w="2322" w:type="dxa"/>
            <w:tcBorders>
              <w:top w:val="nil"/>
              <w:left w:val="single" w:sz="2" w:space="0" w:color="000000"/>
              <w:bottom w:val="single" w:sz="2" w:space="0" w:color="000000"/>
              <w:right w:val="nil"/>
            </w:tcBorders>
            <w:vAlign w:val="center"/>
          </w:tcPr>
          <w:p w:rsidR="005F499F" w:rsidRPr="009D5D35" w:rsidRDefault="005F499F" w:rsidP="009A0AE5">
            <w:pPr>
              <w:pStyle w:val="Contenidodelatabla"/>
              <w:jc w:val="center"/>
            </w:pPr>
            <w:r>
              <w:t>30</w:t>
            </w:r>
            <w:r w:rsidRPr="009D5D35">
              <w:t>%</w:t>
            </w:r>
          </w:p>
        </w:tc>
        <w:tc>
          <w:tcPr>
            <w:tcW w:w="2322" w:type="dxa"/>
            <w:tcBorders>
              <w:top w:val="nil"/>
              <w:left w:val="single" w:sz="2" w:space="0" w:color="000000"/>
              <w:bottom w:val="single" w:sz="2" w:space="0" w:color="000000"/>
              <w:right w:val="nil"/>
            </w:tcBorders>
            <w:vAlign w:val="center"/>
          </w:tcPr>
          <w:p w:rsidR="005F499F" w:rsidRPr="009D5D35" w:rsidRDefault="005F499F" w:rsidP="009A0AE5">
            <w:pPr>
              <w:pStyle w:val="Contenidodelatabla"/>
              <w:jc w:val="center"/>
            </w:pPr>
            <w:r w:rsidRPr="009D5D35">
              <w:t>50%</w:t>
            </w:r>
          </w:p>
        </w:tc>
        <w:tc>
          <w:tcPr>
            <w:tcW w:w="2323" w:type="dxa"/>
            <w:tcBorders>
              <w:top w:val="nil"/>
              <w:left w:val="single" w:sz="2" w:space="0" w:color="000000"/>
              <w:bottom w:val="single" w:sz="2" w:space="0" w:color="000000"/>
              <w:right w:val="single" w:sz="2" w:space="0" w:color="000000"/>
            </w:tcBorders>
            <w:vAlign w:val="center"/>
          </w:tcPr>
          <w:p w:rsidR="005F499F" w:rsidRPr="009D5D35" w:rsidRDefault="005F499F" w:rsidP="009A0AE5">
            <w:pPr>
              <w:pStyle w:val="Contenidodelatabla"/>
              <w:jc w:val="center"/>
            </w:pPr>
          </w:p>
        </w:tc>
      </w:tr>
    </w:tbl>
    <w:p w:rsidR="005F499F" w:rsidRPr="009D5D35" w:rsidRDefault="005F499F" w:rsidP="005F499F">
      <w:pPr>
        <w:pStyle w:val="Prrafodelista"/>
        <w:spacing w:before="0" w:after="0"/>
        <w:ind w:left="432"/>
        <w:contextualSpacing w:val="0"/>
        <w:rPr>
          <w:i w:val="0"/>
          <w:szCs w:val="24"/>
        </w:rPr>
      </w:pPr>
    </w:p>
    <w:p w:rsidR="005F499F" w:rsidRPr="009D5D35" w:rsidRDefault="005F499F" w:rsidP="005F499F">
      <w:pPr>
        <w:pStyle w:val="Prrafodelista"/>
        <w:numPr>
          <w:ilvl w:val="0"/>
          <w:numId w:val="1"/>
        </w:numPr>
        <w:spacing w:before="0" w:after="0"/>
        <w:contextualSpacing w:val="0"/>
        <w:rPr>
          <w:i w:val="0"/>
          <w:szCs w:val="24"/>
        </w:rPr>
      </w:pPr>
      <w:r w:rsidRPr="009D5D35">
        <w:rPr>
          <w:i w:val="0"/>
          <w:szCs w:val="24"/>
        </w:rPr>
        <w:t>Aquellos alumnos que no superen la asignatura en junio deberán realizar un examen extraordinario en septiembre con los contenidos del curso. La nota de septiembre será la obtenida en este examen.</w:t>
      </w:r>
    </w:p>
    <w:p w:rsidR="00582E52" w:rsidRPr="00D1003E" w:rsidRDefault="005F499F" w:rsidP="005F499F">
      <w:pPr>
        <w:rPr>
          <w:i w:val="0"/>
          <w:szCs w:val="24"/>
        </w:rPr>
      </w:pPr>
      <w:r w:rsidRPr="00CB0C4B">
        <w:rPr>
          <w:i w:val="0"/>
          <w:szCs w:val="24"/>
        </w:rPr>
        <w:t>Si un alumno copia en un examen, se le calificará con un 0</w:t>
      </w:r>
      <w:r>
        <w:rPr>
          <w:i w:val="0"/>
          <w:szCs w:val="24"/>
        </w:rPr>
        <w:t>.</w:t>
      </w:r>
      <w:bookmarkStart w:id="0" w:name="_GoBack"/>
      <w:bookmarkEnd w:id="0"/>
    </w:p>
    <w:sectPr w:rsidR="00582E52" w:rsidRPr="00D1003E" w:rsidSect="00582E52">
      <w:pgSz w:w="11906" w:h="16838"/>
      <w:pgMar w:top="1417" w:right="1274"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
      <w:lvlJc w:val="left"/>
      <w:pPr>
        <w:ind w:left="432" w:hanging="432"/>
      </w:p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9F"/>
    <w:rsid w:val="00272395"/>
    <w:rsid w:val="00582E52"/>
    <w:rsid w:val="005F499F"/>
    <w:rsid w:val="00D1003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C113B"/>
  <w15:chartTrackingRefBased/>
  <w15:docId w15:val="{54C8FE7D-4E45-47E1-A613-62F629EB0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499F"/>
    <w:pPr>
      <w:spacing w:before="60" w:after="60" w:line="240" w:lineRule="auto"/>
      <w:ind w:left="1134"/>
      <w:jc w:val="both"/>
    </w:pPr>
    <w:rPr>
      <w:rFonts w:ascii="Times New Roman" w:eastAsia="Times New Roman" w:hAnsi="Times New Roman" w:cs="Times New Roman"/>
      <w:i/>
      <w:sz w:val="24"/>
      <w:szCs w:val="20"/>
      <w:lang w:eastAsia="es-ES"/>
    </w:rPr>
  </w:style>
  <w:style w:type="paragraph" w:styleId="Ttulo2">
    <w:name w:val="heading 2"/>
    <w:basedOn w:val="Normal"/>
    <w:next w:val="Normal"/>
    <w:link w:val="Ttulo2Car"/>
    <w:uiPriority w:val="9"/>
    <w:semiHidden/>
    <w:unhideWhenUsed/>
    <w:qFormat/>
    <w:rsid w:val="005F499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aliases w:val="Objet.,Cont.,Crit.Ev.,Met..."/>
    <w:basedOn w:val="Ttulo2"/>
    <w:next w:val="Normal"/>
    <w:link w:val="Ttulo3Car"/>
    <w:uiPriority w:val="9"/>
    <w:qFormat/>
    <w:rsid w:val="005F499F"/>
    <w:pPr>
      <w:keepNext w:val="0"/>
      <w:keepLines w:val="0"/>
      <w:pBdr>
        <w:bottom w:val="single" w:sz="4" w:space="1" w:color="auto"/>
      </w:pBdr>
      <w:spacing w:before="840" w:after="240"/>
      <w:ind w:left="0"/>
      <w:jc w:val="left"/>
      <w:outlineLvl w:val="2"/>
    </w:pPr>
    <w:rPr>
      <w:rFonts w:ascii="Cambria" w:eastAsia="Times New Roman" w:hAnsi="Cambria" w:cs="Times New Roman"/>
      <w:b/>
      <w:bCs/>
      <w:color w:val="aut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aliases w:val="Objet. Car,Cont. Car,Crit.Ev. Car,Met... Car"/>
    <w:basedOn w:val="Fuentedeprrafopredeter"/>
    <w:link w:val="Ttulo3"/>
    <w:uiPriority w:val="9"/>
    <w:rsid w:val="005F499F"/>
    <w:rPr>
      <w:rFonts w:ascii="Cambria" w:eastAsia="Times New Roman" w:hAnsi="Cambria" w:cs="Times New Roman"/>
      <w:b/>
      <w:bCs/>
      <w:i/>
      <w:sz w:val="26"/>
      <w:szCs w:val="26"/>
      <w:lang w:eastAsia="es-ES"/>
    </w:rPr>
  </w:style>
  <w:style w:type="paragraph" w:styleId="Prrafodelista">
    <w:name w:val="List Paragraph"/>
    <w:basedOn w:val="Normal"/>
    <w:uiPriority w:val="34"/>
    <w:qFormat/>
    <w:rsid w:val="005F499F"/>
    <w:pPr>
      <w:ind w:left="720"/>
      <w:contextualSpacing/>
    </w:pPr>
  </w:style>
  <w:style w:type="paragraph" w:customStyle="1" w:styleId="Predeterminado">
    <w:name w:val="Predeterminado"/>
    <w:rsid w:val="005F499F"/>
    <w:pPr>
      <w:widowControl w:val="0"/>
      <w:autoSpaceDE w:val="0"/>
      <w:autoSpaceDN w:val="0"/>
      <w:adjustRightInd w:val="0"/>
      <w:spacing w:after="0" w:line="240" w:lineRule="auto"/>
    </w:pPr>
    <w:rPr>
      <w:rFonts w:ascii="Times New Roman" w:eastAsia="Times New Roman" w:hAnsi="Times New Roman" w:cs="Times New Roman"/>
      <w:kern w:val="1"/>
      <w:sz w:val="24"/>
      <w:szCs w:val="24"/>
      <w:lang w:eastAsia="zh-CN" w:bidi="hi-IN"/>
    </w:rPr>
  </w:style>
  <w:style w:type="paragraph" w:customStyle="1" w:styleId="Contenidodelatabla">
    <w:name w:val="Contenido de la tabla"/>
    <w:basedOn w:val="Predeterminado"/>
    <w:uiPriority w:val="99"/>
    <w:rsid w:val="005F499F"/>
    <w:pPr>
      <w:suppressLineNumbers/>
    </w:pPr>
    <w:rPr>
      <w:kern w:val="0"/>
      <w:lang w:eastAsia="es-ES" w:bidi="ar-SA"/>
    </w:rPr>
  </w:style>
  <w:style w:type="character" w:customStyle="1" w:styleId="Ttulo2Car">
    <w:name w:val="Título 2 Car"/>
    <w:basedOn w:val="Fuentedeprrafopredeter"/>
    <w:link w:val="Ttulo2"/>
    <w:uiPriority w:val="9"/>
    <w:semiHidden/>
    <w:rsid w:val="005F499F"/>
    <w:rPr>
      <w:rFonts w:asciiTheme="majorHAnsi" w:eastAsiaTheme="majorEastAsia" w:hAnsiTheme="majorHAnsi" w:cstheme="majorBidi"/>
      <w:i/>
      <w:color w:val="2E74B5" w:themeColor="accent1" w:themeShade="BF"/>
      <w:sz w:val="26"/>
      <w:szCs w:val="2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373</Words>
  <Characters>2057</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 rodriguez</dc:creator>
  <cp:keywords/>
  <dc:description/>
  <cp:lastModifiedBy>angel rodriguez</cp:lastModifiedBy>
  <cp:revision>2</cp:revision>
  <dcterms:created xsi:type="dcterms:W3CDTF">2019-10-20T21:24:00Z</dcterms:created>
  <dcterms:modified xsi:type="dcterms:W3CDTF">2019-10-20T21:41:00Z</dcterms:modified>
</cp:coreProperties>
</file>